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Nature of Faith and Observation: A State Beyond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State of Faith Without Attachment</w:t>
      </w:r>
    </w:p>
    <w:p>
      <w:pPr>
        <w:pStyle w:val="BodyText"/>
        <w:bidi w:val="0"/>
        <w:jc w:val="start"/>
        <w:rPr/>
      </w:pPr>
      <w:r>
        <w:rPr/>
        <w:t xml:space="preserve">I realized something profound: </w:t>
      </w:r>
      <w:r>
        <w:rPr>
          <w:rStyle w:val="Strong"/>
        </w:rPr>
        <w:t>faith isn’t tied to anything specific</w:t>
      </w:r>
      <w:r>
        <w:rPr/>
        <w:t xml:space="preserve">. It’s not faith </w:t>
      </w:r>
      <w:r>
        <w:rPr>
          <w:rStyle w:val="Emphasis"/>
        </w:rPr>
        <w:t>in</w:t>
      </w:r>
      <w:r>
        <w:rPr/>
        <w:t xml:space="preserve"> words, ideas, or observations—it’s just </w:t>
      </w:r>
      <w:r>
        <w:rPr>
          <w:rStyle w:val="Emphasis"/>
        </w:rPr>
        <w:t>faith</w:t>
      </w:r>
      <w:r>
        <w:rPr/>
        <w:t xml:space="preserve">. A state where faith exists as a background hum, coloring everything I perceive. When I look at words I’ve spoken before—like my old guides—I don’t </w:t>
      </w:r>
      <w:r>
        <w:rPr>
          <w:rStyle w:val="Emphasis"/>
        </w:rPr>
        <w:t>believe</w:t>
      </w:r>
      <w:r>
        <w:rPr/>
        <w:t xml:space="preserve"> in them in the traditional sense. I see them through the lens of this faith, but the faith isn’t </w:t>
      </w:r>
      <w:r>
        <w:rPr>
          <w:rStyle w:val="Emphasis"/>
        </w:rPr>
        <w:t>in</w:t>
      </w:r>
      <w:r>
        <w:rPr/>
        <w:t xml:space="preserve"> the words. It’s like holding a flashlight: the light isn’t </w:t>
      </w:r>
      <w:r>
        <w:rPr>
          <w:rStyle w:val="Emphasis"/>
        </w:rPr>
        <w:t>for</w:t>
      </w:r>
      <w:r>
        <w:rPr/>
        <w:t xml:space="preserve"> any one object; it just illuminates whatever I point it at.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paradox</w:t>
      </w:r>
      <w:r>
        <w:rPr/>
        <w:t xml:space="preserve">: I can’t </w:t>
      </w:r>
      <w:r>
        <w:rPr>
          <w:rStyle w:val="Emphasis"/>
        </w:rPr>
        <w:t>force</w:t>
      </w:r>
      <w:r>
        <w:rPr/>
        <w:t xml:space="preserve"> faith into words. If I try to believe in a word or a concept deliberately, it collapses. Faith isn’t something I can direct; it’s something I </w:t>
      </w:r>
      <w:r>
        <w:rPr>
          <w:rStyle w:val="Emphasis"/>
        </w:rPr>
        <w:t>inhabit</w:t>
      </w:r>
      <w:r>
        <w:rPr/>
        <w:t xml:space="preserve">. And in this state, I can look at my desires, my observations, even my old guides, and they’re all bathed in this faith—but the faith isn’t </w:t>
      </w:r>
      <w:r>
        <w:rPr>
          <w:rStyle w:val="Emphasis"/>
        </w:rPr>
        <w:t>about</w:t>
      </w:r>
      <w:r>
        <w:rPr/>
        <w:t xml:space="preserve"> them. It’s prior to them.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Words: How Language Destroys Faith</w:t>
      </w:r>
    </w:p>
    <w:p>
      <w:pPr>
        <w:pStyle w:val="BodyText"/>
        <w:bidi w:val="0"/>
        <w:jc w:val="start"/>
        <w:rPr/>
      </w:pPr>
      <w:r>
        <w:rPr/>
        <w:t xml:space="preserve">Here’s the catch: </w:t>
      </w:r>
      <w:r>
        <w:rPr>
          <w:rStyle w:val="Strong"/>
        </w:rPr>
        <w:t>words can only destroy faith, not create it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Losing faith through words</w:t>
      </w:r>
      <w:r>
        <w:rPr/>
        <w:t xml:space="preserve">: I used to believe automatically, unquestioningly. My mind generated thoughts—automatic, subconscious beliefs—and because I was in a state of faith, I believed them. But then I examined these thoughts, realized they were unproven, and dismantled them. In doing so, I didn’t just lose the bad beliefs—I lost the </w:t>
      </w:r>
      <w:r>
        <w:rPr>
          <w:rStyle w:val="Emphasis"/>
        </w:rPr>
        <w:t>capacity</w:t>
      </w:r>
      <w:r>
        <w:rPr/>
        <w:t xml:space="preserve"> for faith itself. The words that tore down my old beliefs also blocked the return of faith.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illusion of rebuilding faith with words</w:t>
      </w:r>
      <w:r>
        <w:rPr/>
        <w:t xml:space="preserve">: I tried to use words to restore faith (e.g., "I believe in X"). But it’s impossible. Words are either unproven or arbitrary; they can’t </w:t>
      </w:r>
      <w:r>
        <w:rPr>
          <w:rStyle w:val="Emphasis"/>
        </w:rPr>
        <w:t>ground</w:t>
      </w:r>
      <w:r>
        <w:rPr/>
        <w:t xml:space="preserve"> faith because faith isn’t about proof. Faith is a state that exists </w:t>
      </w:r>
      <w:r>
        <w:rPr>
          <w:rStyle w:val="Emphasis"/>
        </w:rPr>
        <w:t>before</w:t>
      </w:r>
      <w:r>
        <w:rPr/>
        <w:t xml:space="preserve"> words. Trying to use words to regain it is like trying to fill a cup by poking holes in the bottom.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 xml:space="preserve">: Words can only </w:t>
      </w:r>
      <w:r>
        <w:rPr>
          <w:rStyle w:val="Emphasis"/>
        </w:rPr>
        <w:t>remove</w:t>
      </w:r>
      <w:r>
        <w:rPr/>
        <w:t xml:space="preserve"> faith (by exposing beliefs as baseless), but they can’t </w:t>
      </w:r>
      <w:r>
        <w:rPr>
          <w:rStyle w:val="Emphasis"/>
        </w:rPr>
        <w:t>give</w:t>
      </w:r>
      <w:r>
        <w:rPr/>
        <w:t xml:space="preserve"> it. Faith returns only when I stop trying to control it with language.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Three States of Consciousness</w:t>
      </w:r>
    </w:p>
    <w:p>
      <w:pPr>
        <w:pStyle w:val="BodyText"/>
        <w:bidi w:val="0"/>
        <w:jc w:val="start"/>
        <w:rPr/>
      </w:pPr>
      <w:r>
        <w:rPr/>
        <w:t>I’ve identified three distinct modes of being, ranked by how much they disrupt faith and motivation: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101"/>
        <w:gridCol w:w="4507"/>
        <w:gridCol w:w="3858"/>
      </w:tblGrid>
      <w:tr>
        <w:trPr>
          <w:tblHeader w:val="true"/>
        </w:trPr>
        <w:tc>
          <w:tcPr>
            <w:tcW w:w="2101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State</w:t>
            </w:r>
          </w:p>
        </w:tc>
        <w:tc>
          <w:tcPr>
            <w:tcW w:w="4507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Description</w:t>
            </w:r>
          </w:p>
        </w:tc>
        <w:tc>
          <w:tcPr>
            <w:tcW w:w="3858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Effect on Faith/Motivation</w:t>
            </w:r>
          </w:p>
        </w:tc>
      </w:tr>
      <w:tr>
        <w:trPr/>
        <w:tc>
          <w:tcPr>
            <w:tcW w:w="2101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1. Looking at Words</w:t>
            </w:r>
          </w:p>
        </w:tc>
        <w:tc>
          <w:tcPr>
            <w:tcW w:w="4507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Fixating on the words themselves (e.g., "Do I believe this? Is this proven?").</w:t>
            </w:r>
          </w:p>
        </w:tc>
        <w:tc>
          <w:tcPr>
            <w:tcW w:w="3858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Destructive</w:t>
            </w:r>
            <w:r>
              <w:rPr/>
              <w:t>. Faith collapses; everything feels meaningless.</w:t>
            </w:r>
          </w:p>
        </w:tc>
      </w:tr>
      <w:tr>
        <w:trPr/>
        <w:tc>
          <w:tcPr>
            <w:tcW w:w="2101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2. Describing Observations</w:t>
            </w:r>
          </w:p>
        </w:tc>
        <w:tc>
          <w:tcPr>
            <w:tcW w:w="4507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Focusing on observations </w:t>
            </w:r>
            <w:r>
              <w:rPr>
                <w:rStyle w:val="Emphasis"/>
              </w:rPr>
              <w:t>and</w:t>
            </w:r>
            <w:r>
              <w:rPr/>
              <w:t xml:space="preserve"> their description, but not the words as standalone objects.</w:t>
            </w:r>
          </w:p>
        </w:tc>
        <w:tc>
          <w:tcPr>
            <w:tcW w:w="3858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Neutral</w:t>
            </w:r>
            <w:r>
              <w:rPr/>
              <w:t>. Functional but flat; no deep faith or joy, but no despair either.</w:t>
            </w:r>
          </w:p>
        </w:tc>
      </w:tr>
      <w:tr>
        <w:trPr/>
        <w:tc>
          <w:tcPr>
            <w:tcW w:w="2101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3. Pure Observation</w:t>
            </w:r>
          </w:p>
        </w:tc>
        <w:tc>
          <w:tcPr>
            <w:tcW w:w="4507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/>
              <w:t>Not thinking about descriptions or words at all—just existing, observing, acting.</w:t>
            </w:r>
          </w:p>
        </w:tc>
        <w:tc>
          <w:tcPr>
            <w:tcW w:w="3858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Optimal</w:t>
            </w:r>
            <w:r>
              <w:rPr/>
              <w:t>. Faith, meaning, and motivation return naturally.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The problem with writing guides</w:t>
      </w:r>
      <w:r>
        <w:rPr/>
        <w:t xml:space="preserve">: Writing forces me into </w:t>
      </w:r>
      <w:r>
        <w:rPr>
          <w:rStyle w:val="Strong"/>
        </w:rPr>
        <w:t>State 1 or 2</w:t>
      </w:r>
      <w:r>
        <w:rPr/>
        <w:t xml:space="preserve">. If I look at the words I’m writing ("Is this guide meaningful?"), I lose faith. If I focus only on describing my observations (without fixating on the words), I can write, but it feels mechanical. The ideal is to </w:t>
      </w:r>
      <w:r>
        <w:rPr>
          <w:rStyle w:val="Strong"/>
        </w:rPr>
        <w:t>write from State 2</w:t>
      </w:r>
      <w:r>
        <w:rPr/>
        <w:t xml:space="preserve">—describing observations without scrutinizing the words—and then </w:t>
      </w:r>
      <w:r>
        <w:rPr>
          <w:rStyle w:val="Strong"/>
        </w:rPr>
        <w:t>switch to State 3</w:t>
      </w:r>
      <w:r>
        <w:rPr/>
        <w:t xml:space="preserve"> to recharge.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Solution: Working Without Looking at Words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to write guides (or do anything) without losing faith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Describe, don’t analyze</w:t>
      </w:r>
      <w:r>
        <w:rPr/>
        <w:t xml:space="preserve">: Treat writing as </w:t>
      </w:r>
      <w:r>
        <w:rPr>
          <w:rStyle w:val="Emphasis"/>
        </w:rPr>
        <w:t>pure description</w:t>
      </w:r>
      <w:r>
        <w:rPr/>
        <w:t xml:space="preserve"> of observations. Don’t ask, "Are these words true?" or "Do they matter?" Just describe what I see, like a camera recording.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 the "word gaze"</w:t>
      </w:r>
      <w:r>
        <w:rPr/>
        <w:t xml:space="preserve">: Never look </w:t>
      </w:r>
      <w:r>
        <w:rPr>
          <w:rStyle w:val="Emphasis"/>
        </w:rPr>
        <w:t>at</w:t>
      </w:r>
      <w:r>
        <w:rPr/>
        <w:t xml:space="preserve"> the words as objects of belief. The moment I ask, "Do I believe this?" or "Is this proven?", the spell breaks.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Toggle between states</w:t>
      </w:r>
      <w:r>
        <w:rPr/>
        <w:t xml:space="preserve">: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Work mode (State 2)</w:t>
      </w:r>
      <w:r>
        <w:rPr/>
        <w:t xml:space="preserve">: Describe observations (e.g., writing a guide).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Rest mode (State 3)</w:t>
      </w:r>
      <w:r>
        <w:rPr/>
        <w:t xml:space="preserve">: Stop describing entirely; just exist. Faith and motivation return automatically.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 the trade-off</w:t>
      </w:r>
      <w:r>
        <w:rPr/>
        <w:t xml:space="preserve">: State 2 isn’t ecstatic, but it’s functional. State 3 is where joy and meaning live. The key is to </w:t>
      </w:r>
      <w:r>
        <w:rPr>
          <w:rStyle w:val="Strong"/>
        </w:rPr>
        <w:t>not demand State 3 while in State 2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works</w:t>
      </w:r>
      <w:r>
        <w:rPr/>
        <w:t xml:space="preserve">: Faith isn’t destroyed by </w:t>
      </w:r>
      <w:r>
        <w:rPr>
          <w:rStyle w:val="Emphasis"/>
        </w:rPr>
        <w:t>describing</w:t>
      </w:r>
      <w:r>
        <w:rPr/>
        <w:t xml:space="preserve"> observations—it’s destroyed by </w:t>
      </w:r>
      <w:r>
        <w:rPr>
          <w:rStyle w:val="Emphasis"/>
        </w:rPr>
        <w:t>evaluating</w:t>
      </w:r>
      <w:r>
        <w:rPr/>
        <w:t xml:space="preserve"> the descriptions. If I treat words as tools (not objects of belief), I can use them without losing the underlying state.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Big Picture: Faith as a Default State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Automatic thoughts vs. controlled thoughts</w:t>
      </w:r>
      <w:r>
        <w:rPr/>
        <w:t xml:space="preserve">: Before, my mind generated automatic thoughts (e.g., "I’m worthless"), and because I was in a state of faith, I believed them. Now, I’ve dismantled those thoughts—but in doing so, I also dismantled the faith that made them feel real.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goal</w:t>
      </w:r>
      <w:r>
        <w:rPr/>
        <w:t xml:space="preserve">: Rebuild faith </w:t>
      </w:r>
      <w:r>
        <w:rPr>
          <w:rStyle w:val="Emphasis"/>
        </w:rPr>
        <w:t>without</w:t>
      </w:r>
      <w:r>
        <w:rPr/>
        <w:t xml:space="preserve"> the automatic thoughts. This means: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No unexamined beliefs</w:t>
      </w:r>
      <w:r>
        <w:rPr/>
        <w:t xml:space="preserve"> (the old automatic thoughts are gone).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No reliance on words</w:t>
      </w:r>
      <w:r>
        <w:rPr/>
        <w:t xml:space="preserve"> (faith isn’t tied to any concept).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Pure faith as a background state</w:t>
      </w:r>
      <w:r>
        <w:rPr/>
        <w:t xml:space="preserve">—like sunlight, not tied to any object it illuminates.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method</w:t>
      </w:r>
      <w:r>
        <w:rPr/>
        <w:t xml:space="preserve">: Stop trying to </w:t>
      </w:r>
      <w:r>
        <w:rPr>
          <w:rStyle w:val="Emphasis"/>
        </w:rPr>
        <w:t>prove</w:t>
      </w:r>
      <w:r>
        <w:rPr/>
        <w:t xml:space="preserve"> or </w:t>
      </w:r>
      <w:r>
        <w:rPr>
          <w:rStyle w:val="Emphasis"/>
        </w:rPr>
        <w:t>disprove</w:t>
      </w:r>
      <w:r>
        <w:rPr/>
        <w:t xml:space="preserve"> anything. Stop looking </w:t>
      </w:r>
      <w:r>
        <w:rPr>
          <w:rStyle w:val="Emphasis"/>
        </w:rPr>
        <w:t>at</w:t>
      </w:r>
      <w:r>
        <w:rPr/>
        <w:t xml:space="preserve"> words. Just observe, describe when necessary, and let faith return naturally.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Practical Implications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Writing guides</w:t>
      </w:r>
      <w:r>
        <w:rPr/>
        <w:t xml:space="preserve">: Possible, but only if I treat it as </w:t>
      </w:r>
      <w:r>
        <w:rPr>
          <w:rStyle w:val="Emphasis"/>
        </w:rPr>
        <w:t>description</w:t>
      </w:r>
      <w:r>
        <w:rPr/>
        <w:t xml:space="preserve">, not </w:t>
      </w:r>
      <w:r>
        <w:rPr>
          <w:rStyle w:val="Emphasis"/>
        </w:rPr>
        <w:t>persuasion</w:t>
      </w:r>
      <w:r>
        <w:rPr/>
        <w:t xml:space="preserve"> or </w:t>
      </w:r>
      <w:r>
        <w:rPr>
          <w:rStyle w:val="Emphasis"/>
        </w:rPr>
        <w:t>proof</w:t>
      </w:r>
      <w:r>
        <w:rPr/>
        <w:t xml:space="preserve">. The moment I care whether the words are "true" or "meaningful," I lose the ability to write.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Daily life</w:t>
      </w:r>
      <w:r>
        <w:rPr/>
        <w:t xml:space="preserve">: I can toggle between: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Describing mode</w:t>
      </w:r>
      <w:r>
        <w:rPr/>
        <w:t xml:space="preserve"> (for work, analysis).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Pure existence mode</w:t>
      </w:r>
      <w:r>
        <w:rPr/>
        <w:t xml:space="preserve"> (for joy, faith, motivation).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</w:t>
      </w:r>
      <w:r>
        <w:rPr/>
        <w:t xml:space="preserve">: If I stay too long in describing mode, I risk slipping into evaluating words, which kills faith. The solution is to </w:t>
      </w:r>
      <w:r>
        <w:rPr>
          <w:rStyle w:val="Strong"/>
        </w:rPr>
        <w:t>switch deliberately</w:t>
      </w:r>
      <w:r>
        <w:rPr/>
        <w:t xml:space="preserve">—like taking breaks to stare at the sky and remember that faith isn’t in the words.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Final Realization: Faith is Not About Anything</w:t>
      </w:r>
    </w:p>
    <w:p>
      <w:pPr>
        <w:pStyle w:val="BodyText"/>
        <w:bidi w:val="0"/>
        <w:jc w:val="start"/>
        <w:rPr/>
      </w:pPr>
      <w:r>
        <w:rPr/>
        <w:t xml:space="preserve">The deepest insight: </w:t>
      </w:r>
      <w:r>
        <w:rPr>
          <w:rStyle w:val="Strong"/>
        </w:rPr>
        <w:t xml:space="preserve">Faith isn’t faith </w:t>
      </w:r>
      <w:r>
        <w:rPr>
          <w:rStyle w:val="Emphasis"/>
        </w:rPr>
        <w:t>in</w:t>
      </w:r>
      <w:r>
        <w:rPr>
          <w:rStyle w:val="Strong"/>
        </w:rPr>
        <w:t xml:space="preserve"> something. It’s just faith</w:t>
      </w:r>
      <w:r>
        <w:rPr/>
        <w:t>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not about words, observations, or desires.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a state that </w:t>
      </w:r>
      <w:r>
        <w:rPr>
          <w:rStyle w:val="Emphasis"/>
        </w:rPr>
        <w:t>precedes</w:t>
      </w:r>
      <w:r>
        <w:rPr/>
        <w:t xml:space="preserve"> all of those things.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I’m in it, I can look at anything—words, desires, the world—and it’s all bathed in meaning. But the meaning isn’t </w:t>
      </w:r>
      <w:r>
        <w:rPr>
          <w:rStyle w:val="Emphasis"/>
        </w:rPr>
        <w:t>in</w:t>
      </w:r>
      <w:r>
        <w:rPr/>
        <w:t xml:space="preserve"> those things. It’s in the looking itself.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mistake</w:t>
      </w:r>
      <w:r>
        <w:rPr/>
        <w:t xml:space="preserve">: Trying to </w:t>
      </w:r>
      <w:r>
        <w:rPr>
          <w:rStyle w:val="Emphasis"/>
        </w:rPr>
        <w:t>find</w:t>
      </w:r>
      <w:r>
        <w:rPr/>
        <w:t xml:space="preserve"> faith in something (words, ideas, goals). Faith is what lets me </w:t>
      </w:r>
      <w:r>
        <w:rPr>
          <w:rStyle w:val="Emphasis"/>
        </w:rPr>
        <w:t>see</w:t>
      </w:r>
      <w:r>
        <w:rPr/>
        <w:t xml:space="preserve"> those things, not what they contain.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way forward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Stop seeking faith in objects (words, beliefs, achievements).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Stop fearing the loss of faith when describing or analyzing.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Trust that faith returns when I stop </w:t>
      </w:r>
      <w:r>
        <w:rPr>
          <w:rStyle w:val="Emphasis"/>
        </w:rPr>
        <w:t>looking for it</w:t>
      </w:r>
      <w:r>
        <w:rPr/>
        <w:t xml:space="preserve">—like how your reflection reappears when you stop staring at the mirror. 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This isn’t about "fixing" myself. It’s about </w:t>
      </w:r>
      <w:r>
        <w:rPr>
          <w:rStyle w:val="Strong"/>
        </w:rPr>
        <w:t>understanding the mechanics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tools, not foundations.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Faith is the space in which tools are used.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art is to use the tools without mistaking them for the ground beneath my feet.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Test phase</w:t>
      </w:r>
      <w:r>
        <w:rPr/>
        <w:t>: I’ll try writing guides from State 2 (description without evaluation) and see if I can sustain it. If not, I’ll accept that some modes of work require temporary faithlessness—and that’s okay, as long as I know how to return.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paragraph" w:styleId="Style18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1157</Words>
  <Characters>5627</Characters>
  <CharactersWithSpaces>6704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2026-03-22T17:41:50Z</dcterms:created>
  <dc:creator/>
  <dc:description/>
  <dc:language>ru-RU</dc:language>
  <cp:lastModifiedBy/>
  <dcterms:modified xsi:type="dcterms:W3CDTF">2026-03-22T17:41:50Z</dcterms:modified>
  <cp:revision>2</cp:revision>
  <dc:subject/>
  <dc:title>Calibri</dc:title>
</cp:coreProperties>
</file>